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10</w:t>
      </w:r>
      <w:r w:rsidR="00336F59">
        <w:t>8</w:t>
      </w:r>
      <w:r w:rsidR="007145F3">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540652" w:rsidRPr="00540652">
        <w:t>R4-2312249</w:t>
      </w:r>
    </w:p>
    <w:p w:rsidR="00675C27" w:rsidRPr="00444A16" w:rsidRDefault="00336F59" w:rsidP="006272FF">
      <w:pPr>
        <w:pStyle w:val="a1"/>
        <w:jc w:val="both"/>
        <w:rPr>
          <w:rFonts w:eastAsia="宋体"/>
          <w:lang w:eastAsia="zh-CN"/>
        </w:rPr>
      </w:pPr>
      <w:r w:rsidRPr="00336F59">
        <w:rPr>
          <w:rFonts w:eastAsia="宋体"/>
          <w:lang w:eastAsia="zh-CN"/>
        </w:rPr>
        <w:t>Toulouse, France, Aug 21 – 25,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C4E5D" w:rsidRPr="003C4E5D">
        <w:rPr>
          <w:rFonts w:ascii="Arial" w:hAnsi="Arial" w:cs="Arial"/>
          <w:sz w:val="22"/>
        </w:rPr>
        <w:t xml:space="preserve">Discussion on </w:t>
      </w:r>
      <w:r w:rsidR="00A9334A">
        <w:rPr>
          <w:rFonts w:ascii="Arial" w:hAnsi="Arial" w:cs="Arial"/>
          <w:sz w:val="22"/>
        </w:rPr>
        <w:t>new</w:t>
      </w:r>
      <w:r w:rsidR="00F818E7" w:rsidRPr="00F818E7">
        <w:rPr>
          <w:rFonts w:ascii="Arial" w:hAnsi="Arial" w:cs="Arial"/>
          <w:sz w:val="22"/>
        </w:rPr>
        <w:t xml:space="preserve"> </w:t>
      </w:r>
      <w:r w:rsidR="00540652" w:rsidRPr="00F818E7">
        <w:rPr>
          <w:rFonts w:ascii="Arial" w:hAnsi="Arial" w:cs="Arial"/>
          <w:sz w:val="22"/>
        </w:rPr>
        <w:t xml:space="preserve">TxD </w:t>
      </w:r>
      <w:r w:rsidR="00F818E7" w:rsidRPr="00F818E7">
        <w:rPr>
          <w:rFonts w:ascii="Arial" w:hAnsi="Arial" w:cs="Arial"/>
          <w:sz w:val="22"/>
        </w:rPr>
        <w:t xml:space="preserve">UE capability for </w:t>
      </w:r>
      <w:bookmarkStart w:id="2" w:name="_GoBack"/>
      <w:bookmarkEnd w:id="2"/>
      <w:r w:rsidR="00F818E7" w:rsidRPr="00F818E7">
        <w:rPr>
          <w:rFonts w:ascii="Arial" w:hAnsi="Arial" w:cs="Arial"/>
          <w:sz w:val="22"/>
        </w:rPr>
        <w:t>3T inter-band CA/DC</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3C4E5D">
        <w:rPr>
          <w:rFonts w:ascii="Arial" w:hAnsi="Arial" w:cs="Arial"/>
          <w:sz w:val="22"/>
        </w:rPr>
        <w:t>7</w:t>
      </w:r>
      <w:r w:rsidR="00A9334A">
        <w:rPr>
          <w:rFonts w:ascii="Arial" w:hAnsi="Arial" w:cs="Arial"/>
          <w:sz w:val="22"/>
        </w:rPr>
        <w:t>.29.3.1</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0F111F">
        <w:rPr>
          <w:rFonts w:ascii="Arial" w:hAnsi="Arial" w:cs="Arial"/>
          <w:sz w:val="22"/>
        </w:rPr>
        <w:t>Approval</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B9629D" w:rsidRDefault="00122D8D" w:rsidP="006272FF">
      <w:pPr>
        <w:jc w:val="both"/>
      </w:pPr>
      <w:r>
        <w:t>The</w:t>
      </w:r>
      <w:r w:rsidR="00355387">
        <w:t xml:space="preserve"> WI</w:t>
      </w:r>
      <w:r>
        <w:t xml:space="preserve"> for 3T4R</w:t>
      </w:r>
      <w:r w:rsidR="00355387">
        <w:t xml:space="preserve"> with objective</w:t>
      </w:r>
      <w:r>
        <w:t>s below</w:t>
      </w:r>
      <w:r w:rsidR="00B9629D">
        <w:t xml:space="preserve"> was </w:t>
      </w:r>
      <w:r>
        <w:t>approved</w:t>
      </w:r>
      <w:r w:rsidR="00B9629D">
        <w:t xml:space="preserve"> in RAN</w:t>
      </w:r>
      <w:r w:rsidR="00157AF8">
        <w:t xml:space="preserve">#98e </w:t>
      </w:r>
      <w:r w:rsidR="00B9629D">
        <w:t>meeting [1]:</w:t>
      </w:r>
    </w:p>
    <w:p w:rsidR="00CA6898" w:rsidRPr="00CA6898" w:rsidRDefault="00CA6898" w:rsidP="00CA6898">
      <w:pPr>
        <w:numPr>
          <w:ilvl w:val="0"/>
          <w:numId w:val="45"/>
        </w:numPr>
        <w:spacing w:after="0"/>
        <w:rPr>
          <w:rFonts w:eastAsia="等线"/>
          <w:b/>
          <w:i/>
          <w:lang w:eastAsia="en-GB"/>
        </w:rPr>
      </w:pPr>
      <w:r w:rsidRPr="00CA6898">
        <w:rPr>
          <w:rFonts w:eastAsia="等线"/>
          <w:b/>
          <w:i/>
          <w:lang w:eastAsia="en-GB"/>
        </w:rPr>
        <w:t xml:space="preserve">Enhancements of 3Tx for </w:t>
      </w:r>
      <w:r w:rsidRPr="00CA6898">
        <w:rPr>
          <w:rFonts w:eastAsia="等线"/>
          <w:b/>
          <w:i/>
        </w:rPr>
        <w:t>band combinations with two bands</w:t>
      </w:r>
    </w:p>
    <w:p w:rsidR="00CA6898" w:rsidRPr="00CA6898" w:rsidRDefault="00CA6898" w:rsidP="00CA6898">
      <w:pPr>
        <w:numPr>
          <w:ilvl w:val="1"/>
          <w:numId w:val="46"/>
        </w:numPr>
        <w:spacing w:after="0"/>
        <w:rPr>
          <w:rFonts w:eastAsia="等线"/>
          <w:i/>
          <w:lang w:eastAsia="en-GB"/>
        </w:rPr>
      </w:pPr>
      <w:r w:rsidRPr="00CA6898">
        <w:rPr>
          <w:rFonts w:eastAsia="等线"/>
          <w:i/>
          <w:lang w:eastAsia="en-GB"/>
        </w:rPr>
        <w:t>Two bands with inter-band UL CA or EN-DC are considered with below limitations:</w:t>
      </w:r>
    </w:p>
    <w:p w:rsidR="00CA6898" w:rsidRPr="00CA6898" w:rsidRDefault="00CA6898" w:rsidP="00CA6898">
      <w:pPr>
        <w:numPr>
          <w:ilvl w:val="2"/>
          <w:numId w:val="46"/>
        </w:numPr>
        <w:spacing w:after="0"/>
        <w:rPr>
          <w:rFonts w:eastAsia="等线"/>
          <w:i/>
          <w:lang w:eastAsia="en-GB"/>
        </w:rPr>
      </w:pPr>
      <w:r w:rsidRPr="00CA6898">
        <w:rPr>
          <w:rFonts w:eastAsia="等线"/>
          <w:i/>
          <w:lang w:eastAsia="en-GB"/>
        </w:rPr>
        <w:t>In each band only 1CC included</w:t>
      </w:r>
      <w:r w:rsidRPr="00CA6898">
        <w:rPr>
          <w:rFonts w:eastAsia="等线"/>
          <w:i/>
        </w:rPr>
        <w:t xml:space="preserve">. </w:t>
      </w:r>
      <w:r w:rsidRPr="00CA6898">
        <w:rPr>
          <w:rFonts w:eastAsia="等线" w:hint="eastAsia"/>
          <w:i/>
        </w:rPr>
        <w:t>T</w:t>
      </w:r>
      <w:r w:rsidRPr="00CA6898">
        <w:rPr>
          <w:rFonts w:eastAsia="等线"/>
          <w:i/>
        </w:rPr>
        <w:t>he Tx capability considered is 1Tx in one band, and 2Tx in the other band</w:t>
      </w:r>
    </w:p>
    <w:p w:rsidR="00CA6898" w:rsidRPr="00CA6898" w:rsidRDefault="00CA6898" w:rsidP="00CA6898">
      <w:pPr>
        <w:numPr>
          <w:ilvl w:val="2"/>
          <w:numId w:val="46"/>
        </w:numPr>
        <w:spacing w:after="0"/>
        <w:rPr>
          <w:rFonts w:eastAsia="等线"/>
          <w:i/>
          <w:lang w:eastAsia="en-GB"/>
        </w:rPr>
      </w:pPr>
      <w:r w:rsidRPr="00CA6898">
        <w:rPr>
          <w:rFonts w:eastAsia="等线" w:hint="eastAsia"/>
          <w:i/>
        </w:rPr>
        <w:t>T</w:t>
      </w:r>
      <w:r w:rsidRPr="00CA6898">
        <w:rPr>
          <w:rFonts w:eastAsia="等线"/>
          <w:i/>
        </w:rPr>
        <w:t>he following power capabilities will be considered</w:t>
      </w:r>
    </w:p>
    <w:p w:rsidR="00CA6898" w:rsidRPr="00CA6898" w:rsidRDefault="00CA6898" w:rsidP="00CA6898">
      <w:pPr>
        <w:numPr>
          <w:ilvl w:val="3"/>
          <w:numId w:val="47"/>
        </w:numPr>
        <w:spacing w:after="0"/>
        <w:ind w:left="1560" w:hanging="300"/>
        <w:rPr>
          <w:rFonts w:eastAsia="等线"/>
          <w:i/>
        </w:rPr>
      </w:pPr>
      <w:r w:rsidRPr="00CA6898">
        <w:rPr>
          <w:rFonts w:eastAsia="等线"/>
          <w:i/>
        </w:rPr>
        <w:t xml:space="preserve">  CA power class or EN-DC power class is PC2</w:t>
      </w:r>
    </w:p>
    <w:p w:rsidR="00CA6898" w:rsidRPr="00CA6898" w:rsidRDefault="00CA6898" w:rsidP="00CA6898">
      <w:pPr>
        <w:numPr>
          <w:ilvl w:val="4"/>
          <w:numId w:val="48"/>
        </w:numPr>
        <w:spacing w:after="0"/>
        <w:rPr>
          <w:rFonts w:eastAsia="等线"/>
          <w:i/>
        </w:rPr>
      </w:pPr>
      <w:r w:rsidRPr="00CA6898">
        <w:rPr>
          <w:rFonts w:eastAsia="等线"/>
          <w:i/>
        </w:rPr>
        <w:t>PC3 FDD band 1Tx + PC2 TDD band 2Tx (UL MIMO and TxD)</w:t>
      </w:r>
    </w:p>
    <w:p w:rsidR="00CA6898" w:rsidRPr="00CA6898" w:rsidRDefault="00CA6898" w:rsidP="00CA6898">
      <w:pPr>
        <w:numPr>
          <w:ilvl w:val="4"/>
          <w:numId w:val="48"/>
        </w:numPr>
        <w:spacing w:after="0"/>
        <w:rPr>
          <w:rFonts w:eastAsia="等线"/>
          <w:i/>
        </w:rPr>
      </w:pPr>
      <w:r w:rsidRPr="00CA6898">
        <w:rPr>
          <w:rFonts w:eastAsia="等线"/>
          <w:i/>
        </w:rPr>
        <w:t>PC3 FDD band 1Tx + PC3 TDD band 2Tx (UL MIMO)</w:t>
      </w:r>
    </w:p>
    <w:p w:rsidR="00CA6898" w:rsidRPr="00CA6898" w:rsidRDefault="00CA6898" w:rsidP="00CA6898">
      <w:pPr>
        <w:numPr>
          <w:ilvl w:val="4"/>
          <w:numId w:val="48"/>
        </w:numPr>
        <w:spacing w:after="0"/>
        <w:rPr>
          <w:rFonts w:eastAsia="等线"/>
          <w:i/>
        </w:rPr>
      </w:pPr>
      <w:r w:rsidRPr="00CA6898">
        <w:rPr>
          <w:rFonts w:eastAsia="等线"/>
          <w:i/>
        </w:rPr>
        <w:t>PC3 TDD band 1Tx + PC2 TDD band 2Tx (UL MIMO)</w:t>
      </w:r>
    </w:p>
    <w:p w:rsidR="00CA6898" w:rsidRPr="00CA6898" w:rsidRDefault="00CA6898" w:rsidP="00CA6898">
      <w:pPr>
        <w:numPr>
          <w:ilvl w:val="3"/>
          <w:numId w:val="47"/>
        </w:numPr>
        <w:spacing w:after="0"/>
        <w:rPr>
          <w:rFonts w:eastAsia="等线"/>
          <w:i/>
        </w:rPr>
      </w:pPr>
      <w:r w:rsidRPr="00CA6898">
        <w:rPr>
          <w:rFonts w:eastAsia="等线"/>
          <w:i/>
        </w:rPr>
        <w:t xml:space="preserve">  CA power class or EN-DC power class is PC1.5</w:t>
      </w:r>
    </w:p>
    <w:p w:rsidR="00CA6898" w:rsidRPr="00CA6898" w:rsidRDefault="00CA6898" w:rsidP="00CA6898">
      <w:pPr>
        <w:numPr>
          <w:ilvl w:val="4"/>
          <w:numId w:val="49"/>
        </w:numPr>
        <w:spacing w:after="0"/>
        <w:rPr>
          <w:rFonts w:eastAsia="等线"/>
          <w:i/>
        </w:rPr>
      </w:pPr>
      <w:r w:rsidRPr="00CA6898">
        <w:rPr>
          <w:rFonts w:eastAsia="等线"/>
          <w:i/>
        </w:rPr>
        <w:t>PC3 FDD band 1Tx + PC1.5 TDD band 2Tx (UL MIMO and TxD)</w:t>
      </w:r>
    </w:p>
    <w:p w:rsidR="009A089A" w:rsidRDefault="00157AF8" w:rsidP="00157AF8">
      <w:pPr>
        <w:spacing w:beforeLines="50" w:before="120"/>
        <w:jc w:val="both"/>
      </w:pPr>
      <w:r>
        <w:t xml:space="preserve">From the objective, we see that TxD is included from the very beginning of the WI. </w:t>
      </w:r>
      <w:r w:rsidR="00B9629D">
        <w:rPr>
          <w:lang w:val="x-none"/>
        </w:rPr>
        <w:t xml:space="preserve">This </w:t>
      </w:r>
      <w:r>
        <w:rPr>
          <w:lang w:val="x-none"/>
        </w:rPr>
        <w:t>paper</w:t>
      </w:r>
      <w:r w:rsidR="00B9629D">
        <w:rPr>
          <w:lang w:val="x-none"/>
        </w:rPr>
        <w:t xml:space="preserve"> provides </w:t>
      </w:r>
      <w:r>
        <w:rPr>
          <w:lang w:val="x-none"/>
        </w:rPr>
        <w:t>our</w:t>
      </w:r>
      <w:r w:rsidR="00A750D9">
        <w:rPr>
          <w:lang w:val="x-none"/>
        </w:rPr>
        <w:t xml:space="preserve"> </w:t>
      </w:r>
      <w:r>
        <w:rPr>
          <w:lang w:val="x-none"/>
        </w:rPr>
        <w:t>consideration to extend the TxD capability cover the inter-band case</w:t>
      </w:r>
      <w:r w:rsidR="00B9629D">
        <w:rPr>
          <w:lang w:val="x-none"/>
        </w:rPr>
        <w:t>.</w:t>
      </w:r>
    </w:p>
    <w:p w:rsidR="00062E8E" w:rsidRDefault="00062E8E" w:rsidP="006272FF">
      <w:pPr>
        <w:pStyle w:val="Heading1"/>
        <w:spacing w:after="240"/>
        <w:jc w:val="both"/>
        <w:rPr>
          <w:rFonts w:eastAsia="宋体"/>
          <w:lang w:eastAsia="zh-CN"/>
        </w:rPr>
      </w:pPr>
      <w:r>
        <w:rPr>
          <w:rFonts w:eastAsia="宋体" w:hint="eastAsia"/>
          <w:lang w:eastAsia="zh-CN"/>
        </w:rPr>
        <w:t>Discussion</w:t>
      </w:r>
    </w:p>
    <w:p w:rsidR="005369EE" w:rsidRDefault="00B36DC5" w:rsidP="006272FF">
      <w:pPr>
        <w:jc w:val="both"/>
        <w:rPr>
          <w:lang w:val="en-US"/>
        </w:rPr>
      </w:pPr>
      <w:r>
        <w:rPr>
          <w:rFonts w:hint="eastAsia"/>
          <w:lang w:val="en-US"/>
        </w:rPr>
        <w:t>T</w:t>
      </w:r>
      <w:r>
        <w:rPr>
          <w:lang w:val="en-US"/>
        </w:rPr>
        <w:t>x</w:t>
      </w:r>
      <w:r>
        <w:rPr>
          <w:rFonts w:hint="eastAsia"/>
          <w:lang w:val="en-US"/>
        </w:rPr>
        <w:t>D</w:t>
      </w:r>
      <w:r>
        <w:rPr>
          <w:lang w:val="en-US"/>
        </w:rPr>
        <w:t xml:space="preserve"> capability was introduced from Rel-16 in </w:t>
      </w:r>
      <w:r w:rsidRPr="00B36DC5">
        <w:rPr>
          <w:lang w:val="en-US"/>
        </w:rPr>
        <w:t xml:space="preserve">the section of </w:t>
      </w:r>
      <w:proofErr w:type="spellStart"/>
      <w:r w:rsidRPr="00B36DC5">
        <w:rPr>
          <w:lang w:val="en-US"/>
        </w:rPr>
        <w:t>BandNR</w:t>
      </w:r>
      <w:proofErr w:type="spellEnd"/>
      <w:r w:rsidRPr="00B36DC5">
        <w:rPr>
          <w:lang w:val="en-US"/>
        </w:rPr>
        <w:t xml:space="preserve"> parameters</w:t>
      </w:r>
      <w:r w:rsidR="00C8752E">
        <w:rPr>
          <w:lang w:val="en-US"/>
        </w:rPr>
        <w:t xml:space="preserve"> in TS 38.306</w:t>
      </w:r>
      <w:r>
        <w:rPr>
          <w:lang w:val="en-US"/>
        </w:rPr>
        <w:t xml:space="preserve"> [2]</w:t>
      </w:r>
      <w:r w:rsidRPr="00B36DC5">
        <w:rPr>
          <w:lang w:val="en-US"/>
        </w:rPr>
        <w:t>. The capability is per band and applies to FR1 only.</w:t>
      </w:r>
      <w:r w:rsidR="00361BA6">
        <w:rPr>
          <w:lang w:val="en-US"/>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61BA6" w:rsidRPr="00F4543C" w:rsidTr="0071229B">
        <w:trPr>
          <w:cantSplit/>
          <w:tblHeader/>
        </w:trPr>
        <w:tc>
          <w:tcPr>
            <w:tcW w:w="6917" w:type="dxa"/>
          </w:tcPr>
          <w:p w:rsidR="00361BA6" w:rsidRDefault="00361BA6" w:rsidP="0071229B">
            <w:pPr>
              <w:keepNext/>
              <w:keepLines/>
              <w:spacing w:after="0"/>
              <w:rPr>
                <w:rFonts w:ascii="Arial" w:hAnsi="Arial"/>
                <w:b/>
                <w:i/>
                <w:sz w:val="18"/>
              </w:rPr>
            </w:pPr>
            <w:r>
              <w:rPr>
                <w:rFonts w:ascii="Arial" w:hAnsi="Arial" w:hint="eastAsia"/>
                <w:b/>
                <w:i/>
                <w:sz w:val="18"/>
              </w:rPr>
              <w:t>txDiversity-r16</w:t>
            </w:r>
          </w:p>
          <w:p w:rsidR="00361BA6" w:rsidRPr="00F4543C" w:rsidRDefault="00361BA6" w:rsidP="0071229B">
            <w:pPr>
              <w:pStyle w:val="TAL"/>
              <w:rPr>
                <w:b/>
                <w:i/>
              </w:rPr>
            </w:pPr>
            <w:r w:rsidRPr="00692FE5">
              <w:rPr>
                <w:rFonts w:cs="Arial"/>
                <w:bCs/>
                <w:szCs w:val="18"/>
              </w:rPr>
              <w:t>Indicates whether</w:t>
            </w:r>
            <w:r>
              <w:rPr>
                <w:rFonts w:cs="Arial" w:hint="eastAsia"/>
                <w:bCs/>
                <w:szCs w:val="18"/>
              </w:rPr>
              <w:t xml:space="preserve"> the</w:t>
            </w:r>
            <w:r w:rsidRPr="00692FE5">
              <w:rPr>
                <w:rFonts w:cs="Arial"/>
                <w:bCs/>
                <w:szCs w:val="18"/>
              </w:rPr>
              <w:t xml:space="preserve"> UE supports </w:t>
            </w:r>
            <w:r>
              <w:rPr>
                <w:rFonts w:cs="Arial" w:hint="eastAsia"/>
                <w:bCs/>
                <w:szCs w:val="18"/>
              </w:rPr>
              <w:t>transparent Tx</w:t>
            </w:r>
            <w:r>
              <w:rPr>
                <w:rFonts w:cs="Arial"/>
                <w:bCs/>
                <w:szCs w:val="18"/>
              </w:rPr>
              <w:t xml:space="preserve"> diversity </w:t>
            </w:r>
            <w:r>
              <w:rPr>
                <w:rFonts w:cs="Arial" w:hint="eastAsia"/>
                <w:bCs/>
                <w:szCs w:val="18"/>
              </w:rPr>
              <w:t xml:space="preserve">requirements </w:t>
            </w:r>
            <w:r w:rsidRPr="00487412">
              <w:rPr>
                <w:rFonts w:cs="Arial"/>
                <w:bCs/>
                <w:szCs w:val="18"/>
              </w:rPr>
              <w:t xml:space="preserve">as specified in </w:t>
            </w:r>
            <w:r>
              <w:rPr>
                <w:rFonts w:cs="Arial" w:hint="eastAsia"/>
                <w:bCs/>
                <w:szCs w:val="18"/>
              </w:rPr>
              <w:t xml:space="preserve">the suffix G clauses of </w:t>
            </w:r>
            <w:r w:rsidRPr="00487412">
              <w:rPr>
                <w:rFonts w:cs="Arial"/>
                <w:bCs/>
                <w:szCs w:val="18"/>
              </w:rPr>
              <w:t>TS 38.101-</w:t>
            </w:r>
            <w:r>
              <w:rPr>
                <w:rFonts w:cs="Arial"/>
                <w:bCs/>
                <w:szCs w:val="18"/>
              </w:rPr>
              <w:t>1</w:t>
            </w:r>
            <w:r w:rsidRPr="00487412">
              <w:rPr>
                <w:rFonts w:cs="Arial"/>
                <w:bCs/>
                <w:szCs w:val="18"/>
              </w:rPr>
              <w:t xml:space="preserve"> [</w:t>
            </w:r>
            <w:r>
              <w:rPr>
                <w:rFonts w:cs="Arial"/>
                <w:bCs/>
                <w:szCs w:val="18"/>
              </w:rPr>
              <w:t>2</w:t>
            </w:r>
            <w:r w:rsidRPr="00487412">
              <w:rPr>
                <w:rFonts w:cs="Arial"/>
                <w:bCs/>
                <w:szCs w:val="18"/>
              </w:rPr>
              <w:t>]</w:t>
            </w:r>
            <w:r>
              <w:rPr>
                <w:rFonts w:cs="Arial" w:hint="eastAsia"/>
                <w:bCs/>
                <w:szCs w:val="18"/>
              </w:rPr>
              <w:t xml:space="preserve"> (see also clauses 4.2 and 4.3 of TS38.101-1 [2])</w:t>
            </w:r>
            <w:r>
              <w:rPr>
                <w:rFonts w:cs="Arial"/>
                <w:bCs/>
                <w:szCs w:val="18"/>
              </w:rPr>
              <w:t>.</w:t>
            </w:r>
          </w:p>
        </w:tc>
        <w:tc>
          <w:tcPr>
            <w:tcW w:w="709" w:type="dxa"/>
          </w:tcPr>
          <w:p w:rsidR="00361BA6" w:rsidRPr="00F4543C" w:rsidRDefault="00361BA6" w:rsidP="0071229B">
            <w:pPr>
              <w:pStyle w:val="TAL"/>
              <w:jc w:val="center"/>
            </w:pPr>
            <w:r>
              <w:rPr>
                <w:rFonts w:hint="eastAsia"/>
              </w:rPr>
              <w:t>Band</w:t>
            </w:r>
          </w:p>
        </w:tc>
        <w:tc>
          <w:tcPr>
            <w:tcW w:w="567" w:type="dxa"/>
          </w:tcPr>
          <w:p w:rsidR="00361BA6" w:rsidRPr="00F4543C" w:rsidRDefault="00361BA6" w:rsidP="0071229B">
            <w:pPr>
              <w:pStyle w:val="TAL"/>
              <w:jc w:val="center"/>
            </w:pPr>
            <w:r w:rsidRPr="00FD38B3">
              <w:rPr>
                <w:rFonts w:eastAsia="Times New Roman"/>
                <w:lang w:eastAsia="ja-JP"/>
              </w:rPr>
              <w:t>No</w:t>
            </w:r>
          </w:p>
        </w:tc>
        <w:tc>
          <w:tcPr>
            <w:tcW w:w="709" w:type="dxa"/>
          </w:tcPr>
          <w:p w:rsidR="00361BA6" w:rsidRPr="00F4543C" w:rsidRDefault="00361BA6" w:rsidP="0071229B">
            <w:pPr>
              <w:pStyle w:val="TAL"/>
              <w:jc w:val="center"/>
            </w:pPr>
            <w:r w:rsidRPr="00FD38B3">
              <w:rPr>
                <w:rFonts w:eastAsia="Times New Roman"/>
                <w:lang w:eastAsia="ja-JP"/>
              </w:rPr>
              <w:t>N/A</w:t>
            </w:r>
          </w:p>
        </w:tc>
        <w:tc>
          <w:tcPr>
            <w:tcW w:w="728" w:type="dxa"/>
          </w:tcPr>
          <w:p w:rsidR="00361BA6" w:rsidRPr="00F4543C" w:rsidRDefault="00361BA6" w:rsidP="0071229B">
            <w:pPr>
              <w:pStyle w:val="TAL"/>
              <w:jc w:val="center"/>
            </w:pPr>
            <w:r>
              <w:rPr>
                <w:rFonts w:hint="eastAsia"/>
              </w:rPr>
              <w:t>FR1 only</w:t>
            </w:r>
          </w:p>
        </w:tc>
      </w:tr>
    </w:tbl>
    <w:p w:rsidR="00361BA6" w:rsidRDefault="00C8752E" w:rsidP="00C8752E">
      <w:pPr>
        <w:spacing w:beforeLines="50" w:before="120"/>
        <w:jc w:val="both"/>
        <w:rPr>
          <w:lang w:val="en-US"/>
        </w:rPr>
      </w:pPr>
      <w:r>
        <w:rPr>
          <w:rFonts w:hint="eastAsia"/>
          <w:lang w:val="en-US"/>
        </w:rPr>
        <w:t>W</w:t>
      </w:r>
      <w:r>
        <w:rPr>
          <w:lang w:val="en-US"/>
        </w:rPr>
        <w:t>hile for the objective in the WI, TxD is supported for one of the band</w:t>
      </w:r>
      <w:r w:rsidR="00090D6E">
        <w:rPr>
          <w:lang w:val="en-US"/>
        </w:rPr>
        <w:t>s</w:t>
      </w:r>
      <w:r>
        <w:rPr>
          <w:lang w:val="en-US"/>
        </w:rPr>
        <w:t xml:space="preserve"> in a band combination, which if different from the original per band usage, in other words, the TxD capability</w:t>
      </w:r>
      <w:r w:rsidR="005D6B9D">
        <w:rPr>
          <w:lang w:val="en-US"/>
        </w:rPr>
        <w:t xml:space="preserve"> introduced in Rel-16</w:t>
      </w:r>
      <w:r>
        <w:rPr>
          <w:lang w:val="en-US"/>
        </w:rPr>
        <w:t xml:space="preserve"> is not applicable for the band combination case. </w:t>
      </w:r>
    </w:p>
    <w:p w:rsidR="005369EE" w:rsidRDefault="00090D6E" w:rsidP="006272FF">
      <w:pPr>
        <w:jc w:val="both"/>
        <w:rPr>
          <w:lang w:val="en-US" w:eastAsia="en-US"/>
        </w:rPr>
      </w:pPr>
      <w:r>
        <w:rPr>
          <w:rFonts w:hint="eastAsia"/>
          <w:lang w:val="en-US"/>
        </w:rPr>
        <w:t>Acc</w:t>
      </w:r>
      <w:r>
        <w:rPr>
          <w:lang w:val="en-US"/>
        </w:rPr>
        <w:t>ording to RAN2 spec, the appropriate indication for the per band per band combination TxD case is per feature set capability.</w:t>
      </w:r>
    </w:p>
    <w:tbl>
      <w:tblPr>
        <w:tblStyle w:val="TableGrid"/>
        <w:tblW w:w="0" w:type="auto"/>
        <w:tblLook w:val="04A0" w:firstRow="1" w:lastRow="0" w:firstColumn="1" w:lastColumn="0" w:noHBand="0" w:noVBand="1"/>
      </w:tblPr>
      <w:tblGrid>
        <w:gridCol w:w="9631"/>
      </w:tblGrid>
      <w:tr w:rsidR="00090D6E" w:rsidTr="00090D6E">
        <w:tc>
          <w:tcPr>
            <w:tcW w:w="9631" w:type="dxa"/>
          </w:tcPr>
          <w:p w:rsidR="00090D6E" w:rsidRPr="00090D6E" w:rsidRDefault="00090D6E" w:rsidP="0064353D">
            <w:pPr>
              <w:spacing w:after="0"/>
              <w:jc w:val="both"/>
            </w:pPr>
            <w:r w:rsidRPr="00BE555F">
              <w:t xml:space="preserve">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w:t>
            </w:r>
            <w:r w:rsidRPr="00090D6E">
              <w:rPr>
                <w:highlight w:val="yellow"/>
              </w:rPr>
              <w:t>"FS" indicates it is signalled per feature set (per band per band combination)</w:t>
            </w:r>
            <w:r w:rsidRPr="00BE555F">
              <w:t>, "FSPC" indicates it is signalled per feature set per component carrier (per CC per band per band combination), and "FD" in the column indicates to refer the associated field description.</w:t>
            </w:r>
          </w:p>
        </w:tc>
      </w:tr>
    </w:tbl>
    <w:p w:rsidR="00747077" w:rsidRPr="00747077" w:rsidRDefault="00747077" w:rsidP="00090D6E">
      <w:pPr>
        <w:spacing w:beforeLines="50" w:before="120"/>
        <w:jc w:val="both"/>
      </w:pPr>
      <w:r>
        <w:t xml:space="preserve">Though it may be obvious that a 3T band combination, one of the </w:t>
      </w:r>
      <w:proofErr w:type="gramStart"/>
      <w:r>
        <w:t>band</w:t>
      </w:r>
      <w:proofErr w:type="gramEnd"/>
      <w:r>
        <w:t xml:space="preserve"> is implemented with 2Tx, but as both TxD and MIMO capability are optional, UE supporting TxD may not necessarily support UL MIMO. A clear indication of 2T capability in a band combination would be helpful even from measurement perspective. </w:t>
      </w:r>
    </w:p>
    <w:p w:rsidR="00BF70F6" w:rsidRPr="00090D6E" w:rsidRDefault="00090D6E" w:rsidP="00090D6E">
      <w:pPr>
        <w:spacing w:beforeLines="50" w:before="120"/>
        <w:jc w:val="both"/>
      </w:pPr>
      <w:r>
        <w:rPr>
          <w:rFonts w:hint="eastAsia"/>
        </w:rPr>
        <w:lastRenderedPageBreak/>
        <w:t>T</w:t>
      </w:r>
      <w:r>
        <w:t>herefore, a new per FS capability should be introduced for TxD under the 3T inter-band WI. Regarding the release to support the new UE capability, our preference is to introduce it from Rel-1</w:t>
      </w:r>
      <w:r w:rsidR="00397871">
        <w:t>6</w:t>
      </w:r>
      <w:r>
        <w:t>.</w:t>
      </w:r>
    </w:p>
    <w:p w:rsidR="005369EE" w:rsidRDefault="005369EE" w:rsidP="006272FF">
      <w:pPr>
        <w:jc w:val="both"/>
        <w:rPr>
          <w:b/>
          <w:i/>
          <w:lang w:val="en-US" w:eastAsia="en-US"/>
        </w:rPr>
      </w:pPr>
      <w:r>
        <w:rPr>
          <w:b/>
          <w:i/>
          <w:lang w:val="en-US" w:eastAsia="en-US"/>
        </w:rPr>
        <w:t xml:space="preserve">Observation 1: </w:t>
      </w:r>
      <w:r w:rsidR="00090D6E">
        <w:rPr>
          <w:b/>
          <w:i/>
          <w:lang w:val="en-US" w:eastAsia="en-US"/>
        </w:rPr>
        <w:t>The TxD capability introduced from Rel-16 is per band indicated, which is not applicable for the case for the 3Tx inter-band scenario.</w:t>
      </w:r>
    </w:p>
    <w:p w:rsidR="00090D6E" w:rsidRDefault="00167F84" w:rsidP="006272FF">
      <w:pPr>
        <w:jc w:val="both"/>
        <w:rPr>
          <w:b/>
          <w:i/>
          <w:lang w:val="en-US" w:eastAsia="en-US"/>
        </w:rPr>
      </w:pPr>
      <w:r w:rsidRPr="005369EE">
        <w:rPr>
          <w:b/>
          <w:i/>
          <w:lang w:val="en-US" w:eastAsia="en-US"/>
        </w:rPr>
        <w:t>Proposal 1:</w:t>
      </w:r>
      <w:r w:rsidR="00090D6E">
        <w:rPr>
          <w:b/>
          <w:i/>
          <w:lang w:val="en-US" w:eastAsia="en-US"/>
        </w:rPr>
        <w:t xml:space="preserve"> A new per FS TxD capability should be introduced for inter-band combination CA/DC with more than 2Tx.</w:t>
      </w:r>
    </w:p>
    <w:p w:rsidR="00167F84" w:rsidRDefault="00090D6E" w:rsidP="006272FF">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It is proposed to introduce the new per FS TxD capability from Rel-1</w:t>
      </w:r>
      <w:r w:rsidR="00397871">
        <w:rPr>
          <w:b/>
          <w:i/>
          <w:lang w:val="en-US" w:eastAsia="en-US"/>
        </w:rPr>
        <w:t>6</w:t>
      </w:r>
      <w:r>
        <w:rPr>
          <w:b/>
          <w:i/>
          <w:lang w:val="en-US" w:eastAsia="en-US"/>
        </w:rPr>
        <w:t>.</w:t>
      </w:r>
    </w:p>
    <w:p w:rsidR="00090D6E" w:rsidRPr="00090D6E" w:rsidRDefault="00817EB2" w:rsidP="006272FF">
      <w:pPr>
        <w:jc w:val="both"/>
        <w:rPr>
          <w:lang w:val="en-US"/>
        </w:rPr>
      </w:pPr>
      <w:r>
        <w:rPr>
          <w:rFonts w:hint="eastAsia"/>
          <w:lang w:val="en-US"/>
        </w:rPr>
        <w:t>A</w:t>
      </w:r>
      <w:r>
        <w:rPr>
          <w:lang w:val="en-US"/>
        </w:rPr>
        <w:t xml:space="preserve"> draft LS in provided in the Annex to enable such a new UE capability.</w:t>
      </w:r>
    </w:p>
    <w:p w:rsidR="00A33E8E" w:rsidRDefault="00A33E8E" w:rsidP="006272FF">
      <w:pPr>
        <w:pStyle w:val="Heading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817EB2">
        <w:t xml:space="preserve">our consideration on a new per FS TxD capability to enable UE to indicate supporting per band per band combination TxD for an inter-band CA/DC combination. </w:t>
      </w:r>
    </w:p>
    <w:p w:rsidR="00817EB2" w:rsidRDefault="00817EB2" w:rsidP="00817EB2">
      <w:pPr>
        <w:jc w:val="both"/>
        <w:rPr>
          <w:b/>
          <w:i/>
          <w:lang w:val="en-US" w:eastAsia="en-US"/>
        </w:rPr>
      </w:pPr>
      <w:r>
        <w:rPr>
          <w:b/>
          <w:i/>
          <w:lang w:val="en-US" w:eastAsia="en-US"/>
        </w:rPr>
        <w:t>Observation 1: The TxD capability introduced from Rel-16 is per band indicated, which is not applicable for the case for the 3Tx inter-band scenario.</w:t>
      </w:r>
    </w:p>
    <w:p w:rsidR="00817EB2" w:rsidRDefault="00817EB2" w:rsidP="00817EB2">
      <w:pPr>
        <w:jc w:val="both"/>
        <w:rPr>
          <w:b/>
          <w:i/>
          <w:lang w:val="en-US" w:eastAsia="en-US"/>
        </w:rPr>
      </w:pPr>
      <w:r w:rsidRPr="005369EE">
        <w:rPr>
          <w:b/>
          <w:i/>
          <w:lang w:val="en-US" w:eastAsia="en-US"/>
        </w:rPr>
        <w:t>Proposal 1:</w:t>
      </w:r>
      <w:r>
        <w:rPr>
          <w:b/>
          <w:i/>
          <w:lang w:val="en-US" w:eastAsia="en-US"/>
        </w:rPr>
        <w:t xml:space="preserve"> A new per FS TxD capability should be introduced for inter-band combination CA/DC with more than 2Tx.</w:t>
      </w:r>
    </w:p>
    <w:p w:rsidR="00817EB2" w:rsidRDefault="00817EB2" w:rsidP="00817EB2">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It is proposed to introduce the new per FS TxD capability from Rel-1</w:t>
      </w:r>
      <w:r w:rsidR="001258D2">
        <w:rPr>
          <w:b/>
          <w:i/>
          <w:lang w:val="en-US" w:eastAsia="en-US"/>
        </w:rPr>
        <w:t>6</w:t>
      </w:r>
      <w:r>
        <w:rPr>
          <w:b/>
          <w:i/>
          <w:lang w:val="en-US" w:eastAsia="en-US"/>
        </w:rPr>
        <w:t>.</w:t>
      </w:r>
    </w:p>
    <w:p w:rsidR="005369EE" w:rsidRPr="005369EE" w:rsidRDefault="00817EB2" w:rsidP="006272FF">
      <w:pPr>
        <w:jc w:val="both"/>
        <w:rPr>
          <w:b/>
          <w:i/>
          <w:lang w:val="en-US" w:eastAsia="en-US"/>
        </w:rPr>
      </w:pPr>
      <w:r>
        <w:rPr>
          <w:b/>
          <w:i/>
          <w:lang w:val="en-US" w:eastAsia="en-US"/>
        </w:rPr>
        <w:t xml:space="preserve">Proposal 3: </w:t>
      </w:r>
      <w:proofErr w:type="gramStart"/>
      <w:r>
        <w:rPr>
          <w:b/>
          <w:i/>
          <w:lang w:val="en-US" w:eastAsia="en-US"/>
        </w:rPr>
        <w:t>An</w:t>
      </w:r>
      <w:proofErr w:type="gramEnd"/>
      <w:r>
        <w:rPr>
          <w:b/>
          <w:i/>
          <w:lang w:val="en-US" w:eastAsia="en-US"/>
        </w:rPr>
        <w:t xml:space="preserve"> LS should be sent to RAN2 to introduce a per FS TxD capability</w:t>
      </w:r>
      <w:r w:rsidR="005369EE" w:rsidRPr="005369EE">
        <w:rPr>
          <w:b/>
          <w:i/>
          <w:lang w:val="en-US" w:eastAsia="en-US"/>
        </w:rPr>
        <w:t>.</w:t>
      </w:r>
    </w:p>
    <w:p w:rsidR="00B22DA6" w:rsidRDefault="00B22DA6" w:rsidP="006272FF">
      <w:pPr>
        <w:pStyle w:val="Heading1"/>
        <w:numPr>
          <w:ilvl w:val="0"/>
          <w:numId w:val="0"/>
        </w:numPr>
        <w:jc w:val="both"/>
        <w:rPr>
          <w:rFonts w:eastAsia="宋体"/>
          <w:lang w:eastAsia="zh-CN"/>
        </w:rPr>
      </w:pPr>
      <w:r>
        <w:t>References</w:t>
      </w:r>
    </w:p>
    <w:p w:rsidR="00355387" w:rsidRDefault="0035262B" w:rsidP="006272FF">
      <w:pPr>
        <w:jc w:val="both"/>
        <w:rPr>
          <w:lang w:eastAsia="ja-JP"/>
        </w:rPr>
      </w:pPr>
      <w:r>
        <w:rPr>
          <w:rFonts w:hint="eastAsia"/>
        </w:rPr>
        <w:t>[1]</w:t>
      </w:r>
      <w:r w:rsidR="005369EE">
        <w:t xml:space="preserve"> </w:t>
      </w:r>
      <w:r w:rsidR="00122D8D" w:rsidRPr="00122D8D">
        <w:rPr>
          <w:lang w:eastAsia="ja-JP"/>
        </w:rPr>
        <w:t>RP-223517</w:t>
      </w:r>
      <w:r w:rsidR="00122D8D">
        <w:rPr>
          <w:lang w:eastAsia="ja-JP"/>
        </w:rPr>
        <w:t>,</w:t>
      </w:r>
      <w:r w:rsidR="00122D8D" w:rsidRPr="00122D8D">
        <w:rPr>
          <w:lang w:eastAsia="ja-JP"/>
        </w:rPr>
        <w:t xml:space="preserve"> Low NR band 4Rx for handheld UE and 3Tx for inter-band UL CA and EN-DC</w:t>
      </w:r>
      <w:r w:rsidR="00122D8D">
        <w:rPr>
          <w:lang w:eastAsia="ja-JP"/>
        </w:rPr>
        <w:t>, OPPO</w:t>
      </w:r>
    </w:p>
    <w:p w:rsidR="00202F1E" w:rsidRDefault="00202F1E" w:rsidP="006272FF">
      <w:pPr>
        <w:jc w:val="both"/>
        <w:rPr>
          <w:rFonts w:eastAsiaTheme="minorEastAsia"/>
        </w:rPr>
      </w:pPr>
      <w:r>
        <w:rPr>
          <w:rFonts w:eastAsiaTheme="minorEastAsia" w:hint="eastAsia"/>
        </w:rPr>
        <w:t>[</w:t>
      </w:r>
      <w:r>
        <w:rPr>
          <w:rFonts w:eastAsiaTheme="minorEastAsia"/>
        </w:rPr>
        <w:t xml:space="preserve">2] </w:t>
      </w:r>
      <w:r w:rsidRPr="00202F1E">
        <w:rPr>
          <w:rFonts w:eastAsiaTheme="minorEastAsia"/>
        </w:rPr>
        <w:t>R2-2111503</w:t>
      </w:r>
      <w:r>
        <w:rPr>
          <w:rFonts w:eastAsiaTheme="minorEastAsia"/>
        </w:rPr>
        <w:t>,</w:t>
      </w:r>
      <w:r w:rsidRPr="00202F1E">
        <w:rPr>
          <w:rFonts w:eastAsiaTheme="minorEastAsia"/>
        </w:rPr>
        <w:t xml:space="preserve"> CR on 38.306 for introducing UE capability of </w:t>
      </w:r>
      <w:proofErr w:type="spellStart"/>
      <w:r w:rsidRPr="00202F1E">
        <w:rPr>
          <w:rFonts w:eastAsiaTheme="minorEastAsia"/>
        </w:rPr>
        <w:t>txDiversity</w:t>
      </w:r>
      <w:proofErr w:type="spellEnd"/>
      <w:r>
        <w:rPr>
          <w:rFonts w:eastAsiaTheme="minorEastAsia"/>
        </w:rPr>
        <w:t xml:space="preserve">, </w:t>
      </w:r>
      <w:r w:rsidRPr="00202F1E">
        <w:rPr>
          <w:rFonts w:eastAsiaTheme="minorEastAsia"/>
        </w:rPr>
        <w:t>CMCC, CATT, China Telecom, China Unicom. Huawei, HiSilicon, OPPO, vivo</w:t>
      </w:r>
    </w:p>
    <w:p w:rsidR="00817EB2" w:rsidRDefault="00817EB2" w:rsidP="006272FF">
      <w:pPr>
        <w:jc w:val="both"/>
        <w:rPr>
          <w:rFonts w:eastAsiaTheme="minorEastAsia"/>
        </w:rPr>
      </w:pPr>
    </w:p>
    <w:p w:rsidR="00817EB2" w:rsidRDefault="00817EB2" w:rsidP="00817EB2">
      <w:pPr>
        <w:pStyle w:val="Heading1"/>
        <w:numPr>
          <w:ilvl w:val="0"/>
          <w:numId w:val="0"/>
        </w:numPr>
        <w:jc w:val="both"/>
        <w:rPr>
          <w:rFonts w:eastAsia="宋体"/>
          <w:lang w:eastAsia="zh-CN"/>
        </w:rPr>
      </w:pPr>
      <w:r>
        <w:t>Annex</w:t>
      </w:r>
      <w:r w:rsidR="005E32C2">
        <w:t xml:space="preserve"> </w:t>
      </w:r>
      <w:r w:rsidR="005E32C2" w:rsidRPr="005E32C2">
        <w:t>(draft LS to RAN2)</w:t>
      </w:r>
    </w:p>
    <w:p w:rsidR="005E32C2" w:rsidRPr="00DC0C95" w:rsidRDefault="005E32C2" w:rsidP="005E32C2">
      <w:pPr>
        <w:spacing w:after="60"/>
        <w:ind w:left="1985" w:hanging="1985"/>
        <w:rPr>
          <w:rFonts w:ascii="Arial" w:hAnsi="Arial" w:cs="Arial"/>
        </w:rPr>
      </w:pPr>
      <w:r>
        <w:rPr>
          <w:rFonts w:ascii="Arial" w:hAnsi="Arial" w:cs="Arial"/>
          <w:b/>
        </w:rPr>
        <w:t>Title:</w:t>
      </w:r>
      <w:r>
        <w:rPr>
          <w:rFonts w:ascii="Arial" w:hAnsi="Arial" w:cs="Arial"/>
          <w:b/>
        </w:rPr>
        <w:tab/>
      </w:r>
      <w:r w:rsidRPr="001779BE">
        <w:rPr>
          <w:rFonts w:ascii="Arial" w:hAnsi="Arial" w:cs="Arial"/>
        </w:rPr>
        <w:t xml:space="preserve">draft </w:t>
      </w:r>
      <w:r w:rsidRPr="006454F7">
        <w:rPr>
          <w:rFonts w:ascii="Arial" w:hAnsi="Arial" w:cs="Arial"/>
          <w:bCs/>
        </w:rPr>
        <w:t>LS o</w:t>
      </w:r>
      <w:r w:rsidRPr="00DC0C95">
        <w:rPr>
          <w:rFonts w:ascii="Arial" w:hAnsi="Arial" w:cs="Arial"/>
        </w:rPr>
        <w:t xml:space="preserve">n </w:t>
      </w:r>
      <w:r>
        <w:rPr>
          <w:rFonts w:ascii="Arial" w:hAnsi="Arial" w:cs="Arial"/>
        </w:rPr>
        <w:t>new TxD capability for an inter-band CA/DC combination</w:t>
      </w:r>
    </w:p>
    <w:p w:rsidR="005E32C2" w:rsidRDefault="005E32C2" w:rsidP="005E32C2">
      <w:pPr>
        <w:spacing w:after="60"/>
        <w:ind w:left="1985" w:hanging="1985"/>
        <w:rPr>
          <w:rFonts w:ascii="Arial" w:hAnsi="Arial" w:cs="Arial"/>
          <w:bCs/>
        </w:rPr>
      </w:pPr>
      <w:r>
        <w:rPr>
          <w:rFonts w:ascii="Arial" w:hAnsi="Arial" w:cs="Arial"/>
          <w:b/>
        </w:rPr>
        <w:t>Response to:</w:t>
      </w:r>
      <w:r>
        <w:rPr>
          <w:rFonts w:ascii="Arial" w:hAnsi="Arial" w:cs="Arial"/>
          <w:bCs/>
        </w:rPr>
        <w:tab/>
      </w:r>
    </w:p>
    <w:p w:rsidR="005E32C2" w:rsidRDefault="005E32C2" w:rsidP="005E32C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Pr>
          <w:rFonts w:ascii="Arial" w:hAnsi="Arial" w:cs="Arial"/>
          <w:bCs/>
        </w:rPr>
        <w:t>8</w:t>
      </w:r>
    </w:p>
    <w:p w:rsidR="005E32C2" w:rsidRDefault="005E32C2" w:rsidP="005E32C2">
      <w:pPr>
        <w:spacing w:after="60"/>
        <w:ind w:left="1985" w:hanging="1985"/>
        <w:rPr>
          <w:rFonts w:ascii="Arial" w:hAnsi="Arial" w:cs="Arial"/>
          <w:bCs/>
        </w:rPr>
      </w:pPr>
      <w:r>
        <w:rPr>
          <w:rFonts w:ascii="Arial" w:hAnsi="Arial" w:cs="Arial"/>
          <w:b/>
        </w:rPr>
        <w:t>Work Item:</w:t>
      </w:r>
      <w:r>
        <w:rPr>
          <w:rFonts w:ascii="Arial" w:hAnsi="Arial" w:cs="Arial"/>
          <w:bCs/>
        </w:rPr>
        <w:tab/>
      </w:r>
      <w:r w:rsidRPr="00376830">
        <w:rPr>
          <w:rFonts w:ascii="Arial" w:eastAsia="MS Mincho" w:hAnsi="Arial" w:cs="Arial"/>
          <w:sz w:val="18"/>
          <w:szCs w:val="18"/>
          <w:lang w:eastAsia="ja-JP"/>
        </w:rPr>
        <w:t>4Rx_low_NR_band_handheld_3Tx_NR_CA_ENDC-Core</w:t>
      </w:r>
    </w:p>
    <w:p w:rsidR="005E32C2" w:rsidRDefault="005E32C2" w:rsidP="005E32C2">
      <w:pPr>
        <w:spacing w:after="60"/>
        <w:ind w:left="1985" w:hanging="1985"/>
        <w:rPr>
          <w:rFonts w:ascii="Arial" w:hAnsi="Arial" w:cs="Arial"/>
          <w:b/>
        </w:rPr>
      </w:pPr>
    </w:p>
    <w:p w:rsidR="005E32C2" w:rsidRDefault="005E32C2" w:rsidP="005E32C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5E32C2" w:rsidRDefault="005E32C2" w:rsidP="005E32C2">
      <w:pPr>
        <w:spacing w:after="60"/>
        <w:ind w:left="1985" w:hanging="1985"/>
        <w:rPr>
          <w:rFonts w:ascii="Arial" w:hAnsi="Arial" w:cs="Arial"/>
          <w:bCs/>
        </w:rPr>
      </w:pPr>
      <w:r>
        <w:rPr>
          <w:rFonts w:ascii="Arial" w:hAnsi="Arial" w:cs="Arial"/>
          <w:b/>
        </w:rPr>
        <w:t>To:</w:t>
      </w:r>
      <w:r>
        <w:rPr>
          <w:rFonts w:ascii="Arial" w:hAnsi="Arial" w:cs="Arial"/>
          <w:bCs/>
        </w:rPr>
        <w:tab/>
        <w:t>RAN2</w:t>
      </w:r>
    </w:p>
    <w:p w:rsidR="005E32C2" w:rsidRDefault="005E32C2" w:rsidP="005E32C2">
      <w:pPr>
        <w:spacing w:after="60"/>
        <w:ind w:left="1985" w:hanging="1985"/>
        <w:rPr>
          <w:rFonts w:ascii="Arial" w:hAnsi="Arial" w:cs="Arial"/>
          <w:bCs/>
        </w:rPr>
      </w:pPr>
      <w:r>
        <w:rPr>
          <w:rFonts w:ascii="Arial" w:hAnsi="Arial" w:cs="Arial"/>
          <w:b/>
        </w:rPr>
        <w:t>Cc:</w:t>
      </w:r>
      <w:r>
        <w:rPr>
          <w:rFonts w:ascii="Arial" w:hAnsi="Arial" w:cs="Arial"/>
          <w:bCs/>
        </w:rPr>
        <w:tab/>
      </w:r>
    </w:p>
    <w:p w:rsidR="005E32C2" w:rsidRPr="00296941" w:rsidRDefault="005E32C2" w:rsidP="005E32C2">
      <w:pPr>
        <w:spacing w:after="60"/>
        <w:ind w:left="1985" w:hanging="1985"/>
        <w:rPr>
          <w:rFonts w:ascii="Arial" w:hAnsi="Arial" w:cs="Arial"/>
          <w:bCs/>
        </w:rPr>
      </w:pPr>
    </w:p>
    <w:p w:rsidR="005E32C2" w:rsidRPr="000F4E43" w:rsidRDefault="005E32C2" w:rsidP="005E32C2">
      <w:pPr>
        <w:spacing w:after="0"/>
        <w:rPr>
          <w:rFonts w:ascii="Arial" w:hAnsi="Arial" w:cs="Arial"/>
          <w:bCs/>
        </w:rPr>
      </w:pPr>
      <w:r w:rsidRPr="000F4E43">
        <w:rPr>
          <w:rFonts w:ascii="Arial" w:hAnsi="Arial" w:cs="Arial"/>
          <w:b/>
        </w:rPr>
        <w:t>Contact Person:</w:t>
      </w:r>
      <w:r>
        <w:rPr>
          <w:rFonts w:ascii="Arial" w:hAnsi="Arial" w:cs="Arial"/>
          <w:bCs/>
        </w:rPr>
        <w:tab/>
      </w:r>
      <w:r>
        <w:rPr>
          <w:rFonts w:ascii="Arial" w:hAnsi="Arial" w:cs="Arial"/>
          <w:bCs/>
        </w:rPr>
        <w:tab/>
      </w:r>
    </w:p>
    <w:p w:rsidR="005E32C2" w:rsidRPr="00913263" w:rsidRDefault="005E32C2" w:rsidP="005E32C2">
      <w:pPr>
        <w:spacing w:after="60"/>
        <w:ind w:left="2553" w:hanging="565"/>
        <w:rPr>
          <w:rFonts w:ascii="Arial" w:hAnsi="Arial" w:cs="Arial"/>
          <w:b/>
        </w:rPr>
      </w:pPr>
      <w:r w:rsidRPr="00913263">
        <w:rPr>
          <w:rFonts w:ascii="Arial" w:hAnsi="Arial" w:cs="Arial"/>
          <w:b/>
        </w:rPr>
        <w:t xml:space="preserve">Name: </w:t>
      </w:r>
      <w:r>
        <w:rPr>
          <w:rFonts w:ascii="Arial" w:hAnsi="Arial" w:cs="Arial"/>
          <w:b/>
        </w:rPr>
        <w:tab/>
      </w:r>
    </w:p>
    <w:p w:rsidR="005E32C2" w:rsidRPr="00913263" w:rsidRDefault="005E32C2" w:rsidP="005E32C2">
      <w:pPr>
        <w:spacing w:after="60"/>
        <w:ind w:left="2553" w:hanging="565"/>
        <w:rPr>
          <w:rFonts w:ascii="Arial" w:hAnsi="Arial" w:cs="Arial"/>
          <w:color w:val="0000FF"/>
        </w:rPr>
      </w:pPr>
      <w:r w:rsidRPr="00913263">
        <w:rPr>
          <w:rFonts w:ascii="Arial" w:hAnsi="Arial" w:cs="Arial"/>
          <w:b/>
          <w:color w:val="0000FF"/>
        </w:rPr>
        <w:t xml:space="preserve">E-mail Address: </w:t>
      </w:r>
      <w:r>
        <w:rPr>
          <w:rFonts w:ascii="Arial" w:hAnsi="Arial" w:cs="Arial"/>
          <w:b/>
          <w:color w:val="0000FF"/>
        </w:rPr>
        <w:tab/>
      </w:r>
    </w:p>
    <w:p w:rsidR="005E32C2" w:rsidRDefault="005E32C2" w:rsidP="005E32C2">
      <w:pPr>
        <w:spacing w:after="60"/>
        <w:ind w:left="1985" w:hanging="1985"/>
        <w:rPr>
          <w:rFonts w:ascii="Arial" w:hAnsi="Arial" w:cs="Arial"/>
          <w:b/>
        </w:rPr>
      </w:pPr>
    </w:p>
    <w:p w:rsidR="005E32C2" w:rsidRPr="000F4E43" w:rsidRDefault="005E32C2" w:rsidP="005E32C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rsidR="005E32C2" w:rsidRDefault="005E32C2" w:rsidP="005E32C2">
      <w:pPr>
        <w:pStyle w:val="LGTdoc"/>
        <w:spacing w:afterLines="0"/>
        <w:rPr>
          <w:rFonts w:ascii="Arial" w:hAnsi="Arial" w:cs="Arial"/>
          <w:b/>
        </w:rPr>
      </w:pPr>
    </w:p>
    <w:p w:rsidR="005E32C2" w:rsidRDefault="005E32C2" w:rsidP="005E32C2">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t>N/A</w:t>
      </w:r>
    </w:p>
    <w:p w:rsidR="005E32C2" w:rsidRPr="000F4E43" w:rsidRDefault="005E32C2" w:rsidP="005E32C2">
      <w:pPr>
        <w:pBdr>
          <w:bottom w:val="single" w:sz="4" w:space="1" w:color="auto"/>
        </w:pBdr>
        <w:rPr>
          <w:rFonts w:ascii="Arial" w:hAnsi="Arial" w:cs="Arial"/>
        </w:rPr>
      </w:pPr>
    </w:p>
    <w:p w:rsidR="005E32C2" w:rsidRPr="000F4E43" w:rsidRDefault="005E32C2" w:rsidP="005E32C2">
      <w:pPr>
        <w:spacing w:afterLines="50" w:after="120"/>
        <w:rPr>
          <w:rFonts w:ascii="Arial" w:hAnsi="Arial" w:cs="Arial"/>
          <w:b/>
        </w:rPr>
      </w:pPr>
      <w:r w:rsidRPr="000F4E43">
        <w:rPr>
          <w:rFonts w:ascii="Arial" w:hAnsi="Arial" w:cs="Arial"/>
          <w:b/>
        </w:rPr>
        <w:t>1. Overall Description:</w:t>
      </w:r>
    </w:p>
    <w:p w:rsidR="005E32C2" w:rsidRDefault="005E32C2" w:rsidP="005E32C2">
      <w:pPr>
        <w:pStyle w:val="Header"/>
        <w:jc w:val="both"/>
        <w:rPr>
          <w:rFonts w:eastAsia="宋体" w:cs="Arial"/>
          <w:b w:val="0"/>
          <w:noProof w:val="0"/>
          <w:sz w:val="20"/>
          <w:lang w:eastAsia="zh-CN"/>
        </w:rPr>
      </w:pPr>
      <w:r>
        <w:rPr>
          <w:rFonts w:eastAsia="宋体" w:cs="Arial"/>
          <w:b w:val="0"/>
          <w:noProof w:val="0"/>
          <w:sz w:val="20"/>
          <w:lang w:eastAsia="zh-CN"/>
        </w:rPr>
        <w:t>TxD was introduced from Rel-16 as a per band UE capability</w:t>
      </w:r>
      <w:r w:rsidRPr="00243049">
        <w:rPr>
          <w:rFonts w:eastAsia="宋体" w:cs="Arial"/>
          <w:b w:val="0"/>
          <w:noProof w:val="0"/>
          <w:sz w:val="20"/>
          <w:lang w:eastAsia="zh-CN"/>
        </w:rPr>
        <w:t>.</w:t>
      </w:r>
      <w:r>
        <w:rPr>
          <w:rFonts w:eastAsia="宋体" w:cs="Arial"/>
          <w:b w:val="0"/>
          <w:noProof w:val="0"/>
          <w:sz w:val="20"/>
          <w:lang w:eastAsia="zh-CN"/>
        </w:rPr>
        <w:t xml:space="preserve"> While in Rel-18, a new WI on 3Tx for inter-band CA/DC was approved, in which one of the </w:t>
      </w:r>
      <w:r w:rsidR="00F72DFB">
        <w:rPr>
          <w:rFonts w:eastAsia="宋体" w:cs="Arial"/>
          <w:b w:val="0"/>
          <w:noProof w:val="0"/>
          <w:sz w:val="20"/>
          <w:lang w:eastAsia="zh-CN"/>
        </w:rPr>
        <w:t>objectives</w:t>
      </w:r>
      <w:r>
        <w:rPr>
          <w:rFonts w:eastAsia="宋体" w:cs="Arial"/>
          <w:b w:val="0"/>
          <w:noProof w:val="0"/>
          <w:sz w:val="20"/>
          <w:lang w:eastAsia="zh-CN"/>
        </w:rPr>
        <w:t xml:space="preserve"> is to introduce requirements for the cases of:</w:t>
      </w:r>
    </w:p>
    <w:p w:rsidR="005E32C2" w:rsidRDefault="005E32C2" w:rsidP="005E32C2">
      <w:pPr>
        <w:pStyle w:val="Header"/>
        <w:jc w:val="both"/>
        <w:rPr>
          <w:rFonts w:eastAsia="宋体" w:cs="Arial"/>
          <w:b w:val="0"/>
          <w:noProof w:val="0"/>
          <w:sz w:val="20"/>
          <w:lang w:eastAsia="zh-CN"/>
        </w:rPr>
      </w:pPr>
    </w:p>
    <w:p w:rsidR="005E32C2" w:rsidRPr="00CA6898" w:rsidRDefault="005E32C2" w:rsidP="005E32C2">
      <w:pPr>
        <w:numPr>
          <w:ilvl w:val="3"/>
          <w:numId w:val="47"/>
        </w:numPr>
        <w:spacing w:after="0"/>
        <w:ind w:leftChars="230" w:left="760" w:hanging="300"/>
        <w:rPr>
          <w:rFonts w:ascii="Arial" w:eastAsia="等线" w:hAnsi="Arial" w:cs="Arial"/>
        </w:rPr>
      </w:pPr>
      <w:r w:rsidRPr="00CA6898">
        <w:rPr>
          <w:rFonts w:ascii="Arial" w:eastAsia="等线" w:hAnsi="Arial" w:cs="Arial"/>
        </w:rPr>
        <w:t xml:space="preserve">  CA power class or EN-DC power class is PC2</w:t>
      </w:r>
    </w:p>
    <w:p w:rsidR="005E32C2" w:rsidRPr="00CA6898" w:rsidRDefault="005E32C2" w:rsidP="005E32C2">
      <w:pPr>
        <w:numPr>
          <w:ilvl w:val="4"/>
          <w:numId w:val="48"/>
        </w:numPr>
        <w:spacing w:after="0"/>
        <w:ind w:leftChars="440" w:left="1300"/>
        <w:rPr>
          <w:rFonts w:ascii="Arial" w:eastAsia="等线" w:hAnsi="Arial" w:cs="Arial"/>
        </w:rPr>
      </w:pPr>
      <w:r w:rsidRPr="00CA6898">
        <w:rPr>
          <w:rFonts w:ascii="Arial" w:eastAsia="等线" w:hAnsi="Arial" w:cs="Arial"/>
        </w:rPr>
        <w:t>PC3 FDD band 1Tx + PC2 TDD band 2Tx (UL MIMO and TxD)</w:t>
      </w:r>
    </w:p>
    <w:p w:rsidR="005E32C2" w:rsidRPr="00CA6898" w:rsidRDefault="005E32C2" w:rsidP="005E32C2">
      <w:pPr>
        <w:numPr>
          <w:ilvl w:val="4"/>
          <w:numId w:val="48"/>
        </w:numPr>
        <w:spacing w:after="0"/>
        <w:ind w:leftChars="440" w:left="1300"/>
        <w:rPr>
          <w:rFonts w:ascii="Arial" w:eastAsia="等线" w:hAnsi="Arial" w:cs="Arial"/>
        </w:rPr>
      </w:pPr>
      <w:r w:rsidRPr="00CA6898">
        <w:rPr>
          <w:rFonts w:ascii="Arial" w:eastAsia="等线" w:hAnsi="Arial" w:cs="Arial"/>
        </w:rPr>
        <w:t>PC3 FDD band 1Tx + PC3 TDD band 2Tx (UL MIMO)</w:t>
      </w:r>
    </w:p>
    <w:p w:rsidR="005E32C2" w:rsidRPr="00CA6898" w:rsidRDefault="005E32C2" w:rsidP="005E32C2">
      <w:pPr>
        <w:numPr>
          <w:ilvl w:val="4"/>
          <w:numId w:val="48"/>
        </w:numPr>
        <w:spacing w:after="0"/>
        <w:ind w:leftChars="440" w:left="1300"/>
        <w:rPr>
          <w:rFonts w:ascii="Arial" w:eastAsia="等线" w:hAnsi="Arial" w:cs="Arial"/>
        </w:rPr>
      </w:pPr>
      <w:r w:rsidRPr="00CA6898">
        <w:rPr>
          <w:rFonts w:ascii="Arial" w:eastAsia="等线" w:hAnsi="Arial" w:cs="Arial"/>
        </w:rPr>
        <w:t>PC3 TDD band 1Tx + PC2 TDD band 2Tx (UL MIMO)</w:t>
      </w:r>
    </w:p>
    <w:p w:rsidR="005E32C2" w:rsidRPr="00CA6898" w:rsidRDefault="005E32C2" w:rsidP="005E32C2">
      <w:pPr>
        <w:numPr>
          <w:ilvl w:val="3"/>
          <w:numId w:val="47"/>
        </w:numPr>
        <w:spacing w:after="0"/>
        <w:ind w:leftChars="230" w:left="880"/>
        <w:rPr>
          <w:rFonts w:ascii="Arial" w:eastAsia="等线" w:hAnsi="Arial" w:cs="Arial"/>
        </w:rPr>
      </w:pPr>
      <w:r w:rsidRPr="00CA6898">
        <w:rPr>
          <w:rFonts w:ascii="Arial" w:eastAsia="等线" w:hAnsi="Arial" w:cs="Arial"/>
        </w:rPr>
        <w:t xml:space="preserve">  CA power class or EN-DC power class is PC1.5</w:t>
      </w:r>
    </w:p>
    <w:p w:rsidR="005E32C2" w:rsidRPr="00CA6898" w:rsidRDefault="005E32C2" w:rsidP="005E32C2">
      <w:pPr>
        <w:numPr>
          <w:ilvl w:val="4"/>
          <w:numId w:val="49"/>
        </w:numPr>
        <w:spacing w:after="0"/>
        <w:ind w:leftChars="440" w:left="1300"/>
        <w:rPr>
          <w:rFonts w:ascii="Arial" w:eastAsia="等线" w:hAnsi="Arial" w:cs="Arial"/>
        </w:rPr>
      </w:pPr>
      <w:r w:rsidRPr="00CA6898">
        <w:rPr>
          <w:rFonts w:ascii="Arial" w:eastAsia="等线" w:hAnsi="Arial" w:cs="Arial"/>
        </w:rPr>
        <w:t>PC3 FDD band 1Tx + PC1.5 TDD band 2Tx (UL MIMO and TxD)</w:t>
      </w:r>
    </w:p>
    <w:p w:rsidR="005E32C2" w:rsidRPr="00BB4720" w:rsidRDefault="005E32C2" w:rsidP="005E32C2">
      <w:pPr>
        <w:pStyle w:val="Header"/>
        <w:jc w:val="both"/>
        <w:rPr>
          <w:rFonts w:eastAsia="宋体" w:cs="Arial"/>
          <w:b w:val="0"/>
          <w:noProof w:val="0"/>
          <w:sz w:val="20"/>
          <w:lang w:eastAsia="zh-CN"/>
        </w:rPr>
      </w:pPr>
    </w:p>
    <w:p w:rsidR="005E32C2" w:rsidRPr="0096793E" w:rsidRDefault="005E32C2" w:rsidP="005E32C2">
      <w:pPr>
        <w:pStyle w:val="Header"/>
        <w:jc w:val="both"/>
        <w:rPr>
          <w:rFonts w:cs="Arial"/>
        </w:rPr>
      </w:pPr>
      <w:r>
        <w:rPr>
          <w:rFonts w:eastAsia="宋体" w:cs="Arial" w:hint="eastAsia"/>
          <w:b w:val="0"/>
          <w:noProof w:val="0"/>
          <w:sz w:val="20"/>
          <w:lang w:eastAsia="zh-CN"/>
        </w:rPr>
        <w:t>w</w:t>
      </w:r>
      <w:r>
        <w:rPr>
          <w:rFonts w:eastAsia="宋体" w:cs="Arial"/>
          <w:b w:val="0"/>
          <w:noProof w:val="0"/>
          <w:sz w:val="20"/>
          <w:lang w:eastAsia="zh-CN"/>
        </w:rPr>
        <w:t>here TxD is supported for one of the bands in the CA/DC band combination. It was agreed in RAN4 that a new per band per band combination UE capability should be introduced for the new case to support TxD in a band combination. And it is also agreed that the new TxD capability should be enabled from Rel-1</w:t>
      </w:r>
      <w:r w:rsidR="00747077">
        <w:rPr>
          <w:rFonts w:eastAsia="宋体" w:cs="Arial"/>
          <w:b w:val="0"/>
          <w:noProof w:val="0"/>
          <w:sz w:val="20"/>
          <w:lang w:eastAsia="zh-CN"/>
        </w:rPr>
        <w:t>6</w:t>
      </w:r>
      <w:r>
        <w:rPr>
          <w:rFonts w:eastAsia="宋体" w:cs="Arial"/>
          <w:b w:val="0"/>
          <w:noProof w:val="0"/>
          <w:sz w:val="20"/>
          <w:lang w:eastAsia="zh-CN"/>
        </w:rPr>
        <w:t>.</w:t>
      </w:r>
    </w:p>
    <w:p w:rsidR="005E32C2" w:rsidRDefault="005E32C2" w:rsidP="005E32C2">
      <w:pPr>
        <w:pStyle w:val="Header"/>
        <w:rPr>
          <w:rFonts w:cs="Arial"/>
          <w:lang w:eastAsia="zh-CN"/>
        </w:rPr>
      </w:pPr>
    </w:p>
    <w:p w:rsidR="005E32C2" w:rsidRDefault="005E32C2" w:rsidP="005E32C2">
      <w:pPr>
        <w:pStyle w:val="Header"/>
        <w:rPr>
          <w:rFonts w:cs="Arial"/>
          <w:lang w:eastAsia="zh-CN"/>
        </w:rPr>
      </w:pPr>
    </w:p>
    <w:p w:rsidR="005E32C2" w:rsidRPr="000F4E43" w:rsidRDefault="005E32C2" w:rsidP="005E32C2">
      <w:pPr>
        <w:spacing w:after="120"/>
        <w:rPr>
          <w:rFonts w:ascii="Arial" w:hAnsi="Arial" w:cs="Arial"/>
          <w:b/>
        </w:rPr>
      </w:pPr>
      <w:r w:rsidRPr="000F4E43">
        <w:rPr>
          <w:rFonts w:ascii="Arial" w:hAnsi="Arial" w:cs="Arial"/>
          <w:b/>
        </w:rPr>
        <w:t>2. Actions:</w:t>
      </w:r>
    </w:p>
    <w:p w:rsidR="005E32C2" w:rsidRPr="000F4E43" w:rsidRDefault="005E32C2" w:rsidP="005E32C2">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rsidR="005E32C2" w:rsidRPr="00C024F9" w:rsidRDefault="005E32C2" w:rsidP="005E32C2">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RAN2 to introduce a per FS TxD capability from Rel-1</w:t>
      </w:r>
      <w:r w:rsidR="00747077">
        <w:rPr>
          <w:rFonts w:ascii="Arial" w:hAnsi="Arial" w:cs="Arial"/>
        </w:rPr>
        <w:t>6</w:t>
      </w:r>
      <w:r>
        <w:rPr>
          <w:rFonts w:ascii="Arial" w:hAnsi="Arial" w:cs="Arial"/>
        </w:rPr>
        <w:t>.</w:t>
      </w:r>
    </w:p>
    <w:p w:rsidR="005E32C2" w:rsidRPr="00D73DE6" w:rsidRDefault="005E32C2" w:rsidP="005E32C2">
      <w:pPr>
        <w:spacing w:after="120"/>
        <w:ind w:left="993" w:hanging="993"/>
        <w:rPr>
          <w:rFonts w:ascii="Arial" w:hAnsi="Arial" w:cs="Arial"/>
        </w:rPr>
      </w:pPr>
    </w:p>
    <w:p w:rsidR="005E32C2" w:rsidRPr="000F4E43" w:rsidRDefault="005E32C2" w:rsidP="005E32C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5E32C2" w:rsidRPr="00D73DE6" w:rsidRDefault="005E32C2" w:rsidP="005E32C2">
      <w:pPr>
        <w:pStyle w:val="LGTdoc"/>
        <w:spacing w:afterLines="0"/>
        <w:rPr>
          <w:rFonts w:ascii="Arial" w:eastAsia="宋体" w:hAnsi="Arial" w:cs="Arial"/>
          <w:bCs/>
          <w:sz w:val="21"/>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108-bis</w:t>
      </w:r>
      <w:r>
        <w:rPr>
          <w:rFonts w:ascii="Arial" w:eastAsia="宋体" w:hAnsi="Arial" w:cs="Arial"/>
          <w:bCs/>
          <w:sz w:val="21"/>
        </w:rPr>
        <w:tab/>
      </w:r>
      <w:r>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09</w:t>
      </w:r>
      <w:r w:rsidRPr="00D73DE6">
        <w:rPr>
          <w:rFonts w:ascii="Arial" w:eastAsia="宋体" w:hAnsi="Arial" w:cs="Arial"/>
          <w:bCs/>
          <w:sz w:val="21"/>
          <w:vertAlign w:val="superscript"/>
        </w:rPr>
        <w:t>th</w:t>
      </w:r>
      <w:r w:rsidRPr="00D73DE6">
        <w:rPr>
          <w:rFonts w:ascii="Arial" w:eastAsia="宋体" w:hAnsi="Arial" w:cs="Arial"/>
          <w:bCs/>
          <w:sz w:val="21"/>
        </w:rPr>
        <w:t xml:space="preserve"> – </w:t>
      </w:r>
      <w:r>
        <w:rPr>
          <w:rFonts w:ascii="Arial" w:eastAsia="宋体" w:hAnsi="Arial" w:cs="Arial"/>
          <w:bCs/>
          <w:sz w:val="21"/>
        </w:rPr>
        <w:t>13</w:t>
      </w:r>
      <w:r w:rsidRPr="00D73DE6">
        <w:rPr>
          <w:rFonts w:ascii="Arial" w:eastAsia="宋体" w:hAnsi="Arial" w:cs="Arial"/>
          <w:bCs/>
          <w:sz w:val="21"/>
          <w:vertAlign w:val="superscript"/>
        </w:rPr>
        <w:t>th</w:t>
      </w:r>
      <w:r w:rsidRPr="00D73DE6">
        <w:rPr>
          <w:rFonts w:ascii="Arial" w:eastAsia="宋体" w:hAnsi="Arial" w:cs="Arial"/>
          <w:bCs/>
          <w:sz w:val="21"/>
        </w:rPr>
        <w:t xml:space="preserve"> </w:t>
      </w:r>
      <w:r>
        <w:rPr>
          <w:rFonts w:ascii="Arial" w:eastAsia="宋体" w:hAnsi="Arial" w:cs="Arial"/>
          <w:bCs/>
          <w:sz w:val="21"/>
        </w:rPr>
        <w:t>Sept</w:t>
      </w:r>
      <w:r w:rsidRPr="00D73DE6">
        <w:rPr>
          <w:rFonts w:ascii="Arial" w:eastAsia="宋体" w:hAnsi="Arial" w:cs="Arial"/>
          <w:bCs/>
          <w:sz w:val="21"/>
        </w:rPr>
        <w:t xml:space="preserve"> 202</w:t>
      </w:r>
      <w:r>
        <w:rPr>
          <w:rFonts w:ascii="Arial" w:eastAsia="宋体" w:hAnsi="Arial" w:cs="Arial"/>
          <w:bCs/>
          <w:sz w:val="21"/>
        </w:rPr>
        <w:t>3</w:t>
      </w:r>
      <w:r>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Xiamen</w:t>
      </w:r>
      <w:r w:rsidR="009E6FD9">
        <w:rPr>
          <w:rFonts w:ascii="Arial" w:eastAsia="宋体" w:hAnsi="Arial" w:cs="Arial"/>
          <w:bCs/>
          <w:sz w:val="21"/>
        </w:rPr>
        <w:t>, CN</w:t>
      </w:r>
    </w:p>
    <w:p w:rsidR="00817EB2" w:rsidRPr="004F335D" w:rsidRDefault="005E32C2" w:rsidP="004F335D">
      <w:pPr>
        <w:pStyle w:val="LGTdoc"/>
        <w:spacing w:afterLines="0"/>
        <w:rPr>
          <w:rFonts w:ascii="Arial" w:hAnsi="Arial" w:cs="Arial"/>
          <w:sz w:val="20"/>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 xml:space="preserve">109 </w:t>
      </w:r>
      <w:r w:rsidRPr="00D73DE6">
        <w:rPr>
          <w:rFonts w:ascii="Arial" w:eastAsia="宋体" w:hAnsi="Arial" w:cs="Arial"/>
          <w:bCs/>
          <w:sz w:val="21"/>
        </w:rPr>
        <w:tab/>
        <w:t xml:space="preserve"> </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13</w:t>
      </w:r>
      <w:r>
        <w:rPr>
          <w:rFonts w:ascii="Arial" w:eastAsia="宋体" w:hAnsi="Arial" w:cs="Arial"/>
          <w:bCs/>
          <w:sz w:val="21"/>
          <w:vertAlign w:val="superscript"/>
        </w:rPr>
        <w:t>th</w:t>
      </w:r>
      <w:r w:rsidRPr="00D73DE6">
        <w:rPr>
          <w:rFonts w:ascii="Arial" w:eastAsia="宋体" w:hAnsi="Arial" w:cs="Arial"/>
          <w:bCs/>
          <w:sz w:val="21"/>
        </w:rPr>
        <w:t xml:space="preserve"> – </w:t>
      </w:r>
      <w:r>
        <w:rPr>
          <w:rFonts w:ascii="Arial" w:eastAsia="宋体" w:hAnsi="Arial" w:cs="Arial"/>
          <w:bCs/>
          <w:sz w:val="21"/>
        </w:rPr>
        <w:t>17</w:t>
      </w:r>
      <w:r w:rsidRPr="00D73DE6">
        <w:rPr>
          <w:rFonts w:ascii="Arial" w:eastAsia="宋体" w:hAnsi="Arial" w:cs="Arial"/>
          <w:bCs/>
          <w:sz w:val="21"/>
          <w:vertAlign w:val="superscript"/>
        </w:rPr>
        <w:t>th</w:t>
      </w:r>
      <w:r>
        <w:rPr>
          <w:rFonts w:ascii="Arial" w:eastAsia="宋体" w:hAnsi="Arial" w:cs="Arial"/>
          <w:bCs/>
          <w:sz w:val="21"/>
        </w:rPr>
        <w:t xml:space="preserve"> Nov</w:t>
      </w:r>
      <w:r w:rsidRPr="00D73DE6">
        <w:rPr>
          <w:rFonts w:ascii="Arial" w:eastAsia="宋体" w:hAnsi="Arial" w:cs="Arial"/>
          <w:bCs/>
          <w:sz w:val="21"/>
        </w:rPr>
        <w:t xml:space="preserve"> 202</w:t>
      </w:r>
      <w:r>
        <w:rPr>
          <w:rFonts w:ascii="Arial" w:eastAsia="宋体" w:hAnsi="Arial" w:cs="Arial"/>
          <w:bCs/>
          <w:sz w:val="21"/>
        </w:rPr>
        <w:t>3</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ab/>
      </w:r>
      <w:r>
        <w:rPr>
          <w:rFonts w:ascii="Arial" w:eastAsia="宋体" w:hAnsi="Arial" w:cs="Arial"/>
          <w:bCs/>
          <w:sz w:val="21"/>
        </w:rPr>
        <w:tab/>
        <w:t>Chicago</w:t>
      </w:r>
      <w:r w:rsidR="009E6FD9">
        <w:rPr>
          <w:rFonts w:ascii="Arial" w:eastAsia="宋体" w:hAnsi="Arial" w:cs="Arial"/>
          <w:bCs/>
          <w:sz w:val="21"/>
        </w:rPr>
        <w:t>, USA</w:t>
      </w:r>
    </w:p>
    <w:sectPr w:rsidR="00817EB2" w:rsidRPr="004F335D"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2D8A" w:rsidRDefault="009C2D8A" w:rsidP="0052762B">
      <w:r>
        <w:separator/>
      </w:r>
    </w:p>
  </w:endnote>
  <w:endnote w:type="continuationSeparator" w:id="0">
    <w:p w:rsidR="009C2D8A" w:rsidRDefault="009C2D8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2D8A" w:rsidRDefault="009C2D8A" w:rsidP="0052762B">
      <w:r>
        <w:separator/>
      </w:r>
    </w:p>
  </w:footnote>
  <w:footnote w:type="continuationSeparator" w:id="0">
    <w:p w:rsidR="009C2D8A" w:rsidRDefault="009C2D8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130345"/>
    <w:multiLevelType w:val="hybridMultilevel"/>
    <w:tmpl w:val="188055E0"/>
    <w:lvl w:ilvl="0" w:tplc="11207BF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3"/>
  </w:num>
  <w:num w:numId="3">
    <w:abstractNumId w:val="28"/>
  </w:num>
  <w:num w:numId="4">
    <w:abstractNumId w:val="41"/>
  </w:num>
  <w:num w:numId="5">
    <w:abstractNumId w:val="1"/>
  </w:num>
  <w:num w:numId="6">
    <w:abstractNumId w:val="40"/>
  </w:num>
  <w:num w:numId="7">
    <w:abstractNumId w:val="17"/>
  </w:num>
  <w:num w:numId="8">
    <w:abstractNumId w:val="31"/>
  </w:num>
  <w:num w:numId="9">
    <w:abstractNumId w:val="45"/>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7"/>
  </w:num>
  <w:num w:numId="20">
    <w:abstractNumId w:val="25"/>
  </w:num>
  <w:num w:numId="21">
    <w:abstractNumId w:val="14"/>
  </w:num>
  <w:num w:numId="22">
    <w:abstractNumId w:val="5"/>
  </w:num>
  <w:num w:numId="23">
    <w:abstractNumId w:val="24"/>
  </w:num>
  <w:num w:numId="24">
    <w:abstractNumId w:val="39"/>
  </w:num>
  <w:num w:numId="25">
    <w:abstractNumId w:val="8"/>
  </w:num>
  <w:num w:numId="26">
    <w:abstractNumId w:val="38"/>
  </w:num>
  <w:num w:numId="27">
    <w:abstractNumId w:val="36"/>
  </w:num>
  <w:num w:numId="28">
    <w:abstractNumId w:val="18"/>
  </w:num>
  <w:num w:numId="29">
    <w:abstractNumId w:val="44"/>
  </w:num>
  <w:num w:numId="30">
    <w:abstractNumId w:val="29"/>
  </w:num>
  <w:num w:numId="31">
    <w:abstractNumId w:val="16"/>
  </w:num>
  <w:num w:numId="32">
    <w:abstractNumId w:val="33"/>
  </w:num>
  <w:num w:numId="33">
    <w:abstractNumId w:val="6"/>
  </w:num>
  <w:num w:numId="34">
    <w:abstractNumId w:val="9"/>
  </w:num>
  <w:num w:numId="35">
    <w:abstractNumId w:val="34"/>
  </w:num>
  <w:num w:numId="36">
    <w:abstractNumId w:val="19"/>
  </w:num>
  <w:num w:numId="37">
    <w:abstractNumId w:val="7"/>
  </w:num>
  <w:num w:numId="38">
    <w:abstractNumId w:val="30"/>
  </w:num>
  <w:num w:numId="39">
    <w:abstractNumId w:val="3"/>
  </w:num>
  <w:num w:numId="40">
    <w:abstractNumId w:val="26"/>
  </w:num>
  <w:num w:numId="41">
    <w:abstractNumId w:val="15"/>
  </w:num>
  <w:num w:numId="42">
    <w:abstractNumId w:val="13"/>
  </w:num>
  <w:num w:numId="43">
    <w:abstractNumId w:val="21"/>
  </w:num>
  <w:num w:numId="44">
    <w:abstractNumId w:val="35"/>
  </w:num>
  <w:num w:numId="45">
    <w:abstractNumId w:val="43"/>
  </w:num>
  <w:num w:numId="46">
    <w:abstractNumId w:val="22"/>
  </w:num>
  <w:num w:numId="47">
    <w:abstractNumId w:val="32"/>
  </w:num>
  <w:num w:numId="48">
    <w:abstractNumId w:val="37"/>
  </w:num>
  <w:num w:numId="49">
    <w:abstractNumId w:val="4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6E"/>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111F"/>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4A"/>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D8D"/>
    <w:rsid w:val="00123086"/>
    <w:rsid w:val="00123389"/>
    <w:rsid w:val="00123E56"/>
    <w:rsid w:val="001243AC"/>
    <w:rsid w:val="00124AA9"/>
    <w:rsid w:val="001253DF"/>
    <w:rsid w:val="00125824"/>
    <w:rsid w:val="001258D2"/>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AF8"/>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2F1E"/>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1B"/>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1BA6"/>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7871"/>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335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652"/>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B9D"/>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2C2"/>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53D"/>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077"/>
    <w:rsid w:val="00747198"/>
    <w:rsid w:val="00747400"/>
    <w:rsid w:val="0075063F"/>
    <w:rsid w:val="0075069C"/>
    <w:rsid w:val="007507DC"/>
    <w:rsid w:val="00750BE6"/>
    <w:rsid w:val="0075133B"/>
    <w:rsid w:val="007517D4"/>
    <w:rsid w:val="00751AE7"/>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17EB2"/>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D8A"/>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6FD9"/>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34A"/>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6DC5"/>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0F6"/>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CBC"/>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52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898"/>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DFB"/>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8E7"/>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EB2"/>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uiPriority w:val="99"/>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uiPriority w:val="99"/>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1044F-6866-4704-A683-7D6045FB3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91</TotalTime>
  <Pages>3</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20</cp:revision>
  <cp:lastPrinted>2010-01-07T02:23:00Z</cp:lastPrinted>
  <dcterms:created xsi:type="dcterms:W3CDTF">2023-07-31T08:34:00Z</dcterms:created>
  <dcterms:modified xsi:type="dcterms:W3CDTF">2023-08-11T07:39:00Z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(3)L7dEK1BKjAQhdm1irfE2HlAO9V3I0oNqrAeVYm3sC+DnH8fhAcBRBOeUDgMHZWxX5H2VZZsk
+DtVmI9MeZVF5lJvuIysmxEXxqQT9LRuyKkkaUtFAdhrIw6SsPnjsw8PvxEXdDcCJKWmJ+Dt
tmh/buFeqOn0eLLMczTGzvJgeC/7ZC9vUW8/RTxitepFvJs4kYsMQqLFNh51T449emsdw2hF
2qeMLWJ/+tHqsYc0Vj</vt:lpwstr>
  </property>
  <property fmtid="{D5CDD505-2E9C-101B-9397-08002B2CF9AE}" pid="15" name="_2015_ms_pID_725343_00">
    <vt:lpwstr>_2015_ms_pID_725343</vt:lpwstr>
  </property>
  <property fmtid="{D5CDD505-2E9C-101B-9397-08002B2CF9AE}" pid="16" name="_2015_ms_pID_7253431">
    <vt:lpwstr>BAC5WUgzZw00o6QaX49CouUfdXTAxhF6d6yqwGVxZrY/Bz1zU9ty1/
JYtwgBTQSCJF80r4cYRrNe0BORZZNP3R170J5worbZs826YeZdfvoKbfj2DcQ8xCkiLR9Ujd
86u2HohyI2U/Cop7s+U1wRwnkuocgYfh8aMCfkyZ3PpHRuBNMsXs6KQHEZthaIi9ZxqKlD+M
lx2v/zBCeNSQQJBYnz0869Lth0anMlAk1riS</vt:lpwstr>
  </property>
  <property fmtid="{D5CDD505-2E9C-101B-9397-08002B2CF9AE}" pid="17" name="_2015_ms_pID_7253431_00">
    <vt:lpwstr>_2015_ms_pID_7253431</vt:lpwstr>
  </property>
  <property fmtid="{D5CDD505-2E9C-101B-9397-08002B2CF9AE}" pid="18" name="_2015_ms_pID_7253432">
    <vt:lpwstr>UTnWszPh7J+NvBl0jRUnJeY=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